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6C6AB" w14:textId="77777777" w:rsidR="002A0B85" w:rsidRPr="004A3CF4" w:rsidRDefault="002A0B85" w:rsidP="002A0B85">
      <w:pPr>
        <w:spacing w:after="120"/>
        <w:jc w:val="center"/>
        <w:rPr>
          <w:rFonts w:asciiTheme="majorHAnsi" w:hAnsiTheme="majorHAnsi"/>
          <w:b/>
        </w:rPr>
      </w:pPr>
      <w:r>
        <w:rPr>
          <w:rFonts w:asciiTheme="majorHAnsi" w:hAnsiTheme="majorHAnsi"/>
          <w:b/>
          <w:noProof/>
        </w:rPr>
        <w:drawing>
          <wp:inline distT="0" distB="0" distL="0" distR="0" wp14:anchorId="77D78611" wp14:editId="223F3CB4">
            <wp:extent cx="1793240" cy="1793240"/>
            <wp:effectExtent l="0" t="0" r="1016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ogo.png"/>
                    <pic:cNvPicPr/>
                  </pic:nvPicPr>
                  <pic:blipFill>
                    <a:blip r:embed="rId8">
                      <a:extLst>
                        <a:ext uri="{28A0092B-C50C-407E-A947-70E740481C1C}">
                          <a14:useLocalDpi xmlns:a14="http://schemas.microsoft.com/office/drawing/2010/main" val="0"/>
                        </a:ext>
                      </a:extLst>
                    </a:blip>
                    <a:stretch>
                      <a:fillRect/>
                    </a:stretch>
                  </pic:blipFill>
                  <pic:spPr>
                    <a:xfrm>
                      <a:off x="0" y="0"/>
                      <a:ext cx="1793240" cy="1793240"/>
                    </a:xfrm>
                    <a:prstGeom prst="rect">
                      <a:avLst/>
                    </a:prstGeom>
                  </pic:spPr>
                </pic:pic>
              </a:graphicData>
            </a:graphic>
          </wp:inline>
        </w:drawing>
      </w:r>
    </w:p>
    <w:p w14:paraId="00708629" w14:textId="77777777" w:rsidR="002A0B85" w:rsidRDefault="002A0B85" w:rsidP="002A0B85">
      <w:pPr>
        <w:spacing w:after="120"/>
        <w:jc w:val="center"/>
        <w:rPr>
          <w:rFonts w:ascii="Calibri" w:hAnsi="Calibri"/>
          <w:b/>
          <w:sz w:val="32"/>
          <w:szCs w:val="32"/>
        </w:rPr>
      </w:pPr>
      <w:r w:rsidRPr="000B5247">
        <w:rPr>
          <w:rFonts w:ascii="Calibri" w:hAnsi="Calibri"/>
          <w:b/>
          <w:sz w:val="32"/>
          <w:szCs w:val="32"/>
        </w:rPr>
        <w:t>BPA/SWIP</w:t>
      </w:r>
      <w:r>
        <w:rPr>
          <w:rFonts w:ascii="Calibri" w:hAnsi="Calibri"/>
          <w:b/>
          <w:sz w:val="32"/>
          <w:szCs w:val="32"/>
        </w:rPr>
        <w:t xml:space="preserve"> Good Practice Scheme</w:t>
      </w:r>
    </w:p>
    <w:p w14:paraId="6AE6DCD3" w14:textId="32952AE4" w:rsidR="009522E2" w:rsidRPr="009522E2" w:rsidRDefault="009522E2" w:rsidP="009522E2">
      <w:pPr>
        <w:spacing w:after="120"/>
        <w:jc w:val="center"/>
        <w:rPr>
          <w:rFonts w:ascii="Calibri" w:hAnsi="Calibri"/>
          <w:b/>
          <w:sz w:val="32"/>
          <w:szCs w:val="32"/>
        </w:rPr>
      </w:pPr>
      <w:r w:rsidRPr="009522E2">
        <w:rPr>
          <w:rFonts w:ascii="Calibri" w:hAnsi="Calibri"/>
          <w:b/>
          <w:sz w:val="32"/>
          <w:szCs w:val="32"/>
        </w:rPr>
        <w:t>Staff-student relationships</w:t>
      </w:r>
    </w:p>
    <w:p w14:paraId="35B28C6E" w14:textId="77777777" w:rsidR="009522E2" w:rsidRPr="001B0608" w:rsidRDefault="009522E2" w:rsidP="009522E2">
      <w:pPr>
        <w:spacing w:after="120"/>
        <w:rPr>
          <w:rFonts w:ascii="Calibri" w:hAnsi="Calibri"/>
        </w:rPr>
      </w:pPr>
    </w:p>
    <w:p w14:paraId="1DC22284" w14:textId="77777777" w:rsidR="009522E2" w:rsidRPr="001B0608" w:rsidRDefault="009522E2" w:rsidP="009522E2">
      <w:pPr>
        <w:spacing w:after="120"/>
        <w:jc w:val="both"/>
        <w:rPr>
          <w:rFonts w:ascii="Calibri" w:hAnsi="Calibri"/>
          <w:b/>
        </w:rPr>
      </w:pPr>
      <w:r w:rsidRPr="001B0608">
        <w:rPr>
          <w:rFonts w:ascii="Calibri" w:hAnsi="Calibri"/>
          <w:b/>
        </w:rPr>
        <w:t>Introduction</w:t>
      </w:r>
    </w:p>
    <w:p w14:paraId="3BB2F187" w14:textId="77777777" w:rsidR="009522E2" w:rsidDel="00891902" w:rsidRDefault="009522E2" w:rsidP="009522E2">
      <w:pPr>
        <w:widowControl w:val="0"/>
        <w:autoSpaceDE w:val="0"/>
        <w:autoSpaceDN w:val="0"/>
        <w:adjustRightInd w:val="0"/>
        <w:spacing w:after="120"/>
        <w:jc w:val="both"/>
        <w:rPr>
          <w:rFonts w:ascii="Calibri" w:hAnsi="Calibri" w:cs="Arial"/>
          <w:color w:val="1A1A1A"/>
        </w:rPr>
      </w:pPr>
      <w:r w:rsidRPr="001B0608">
        <w:rPr>
          <w:rFonts w:ascii="Calibri" w:hAnsi="Calibri" w:cs="Arial"/>
          <w:color w:val="1A1A1A"/>
        </w:rPr>
        <w:t xml:space="preserve">Romantic or sexual relationships that occur in the student-teacher context or in the context of supervision, line management and evaluation present special problems.  The difference in power and the respect and trust that are often present between a teacher and student, supervisor and subordinate, or senior and junior colleague in the same department or unit makes these relationships especially vulnerable to exploitation. </w:t>
      </w:r>
      <w:r>
        <w:rPr>
          <w:rFonts w:ascii="Calibri" w:hAnsi="Calibri" w:cs="Arial"/>
          <w:color w:val="1A1A1A"/>
        </w:rPr>
        <w:t>They can also have unfortunate unintentional consequences.</w:t>
      </w:r>
    </w:p>
    <w:p w14:paraId="5AE89E22" w14:textId="77777777" w:rsidR="009522E2" w:rsidRDefault="009522E2" w:rsidP="009522E2">
      <w:pPr>
        <w:widowControl w:val="0"/>
        <w:autoSpaceDE w:val="0"/>
        <w:autoSpaceDN w:val="0"/>
        <w:adjustRightInd w:val="0"/>
        <w:spacing w:after="120"/>
        <w:jc w:val="both"/>
        <w:rPr>
          <w:rFonts w:ascii="Calibri" w:hAnsi="Calibri" w:cs="Arial"/>
          <w:color w:val="1A1A1A"/>
        </w:rPr>
      </w:pPr>
      <w:r>
        <w:rPr>
          <w:rFonts w:ascii="Calibri" w:hAnsi="Calibri" w:cs="Arial"/>
          <w:color w:val="1A1A1A"/>
        </w:rPr>
        <w:t>Such relationships</w:t>
      </w:r>
      <w:r w:rsidRPr="001B0608">
        <w:rPr>
          <w:rFonts w:ascii="Calibri" w:hAnsi="Calibri" w:cs="Arial"/>
          <w:color w:val="1A1A1A"/>
        </w:rPr>
        <w:t xml:space="preserve"> </w:t>
      </w:r>
      <w:r>
        <w:rPr>
          <w:rFonts w:ascii="Calibri" w:hAnsi="Calibri" w:cs="Arial"/>
          <w:color w:val="1A1A1A"/>
        </w:rPr>
        <w:t xml:space="preserve">can </w:t>
      </w:r>
      <w:r w:rsidRPr="001B0608">
        <w:rPr>
          <w:rFonts w:ascii="Calibri" w:hAnsi="Calibri" w:cs="Arial"/>
          <w:color w:val="1A1A1A"/>
        </w:rPr>
        <w:t>also generate perceived</w:t>
      </w:r>
      <w:r>
        <w:rPr>
          <w:rFonts w:ascii="Calibri" w:hAnsi="Calibri" w:cs="Arial"/>
          <w:color w:val="1A1A1A"/>
        </w:rPr>
        <w:t xml:space="preserve">, and sometimes real, inequalities that affect </w:t>
      </w:r>
      <w:r w:rsidRPr="001B0608">
        <w:rPr>
          <w:rFonts w:ascii="Calibri" w:hAnsi="Calibri" w:cs="Arial"/>
          <w:color w:val="1A1A1A"/>
        </w:rPr>
        <w:t xml:space="preserve">other members of the department, whether students or staff. </w:t>
      </w:r>
      <w:r>
        <w:rPr>
          <w:rFonts w:ascii="Calibri" w:hAnsi="Calibri" w:cs="Arial"/>
          <w:color w:val="1A1A1A"/>
        </w:rPr>
        <w:t>For example, a relationship between a senior and junior member of staff may raise issues concerning promotion, granting of sabbatical leave, allocation of teaching. This may happen even if no preferential treatment actually occurs, and even if the senior staff member in question is not directly responsible for such decisions. In the case of staff-student relationships, questions may arise concerning preferential treatment in seminar discussions, marking, decisions concerning postgraduate funding, and so on. Again, these questions may well emerge and be of serious concern to other students even if no preferential treatment actually occurs.</w:t>
      </w:r>
    </w:p>
    <w:p w14:paraId="2907733E" w14:textId="77777777" w:rsidR="009522E2" w:rsidRPr="001B0608" w:rsidRDefault="009522E2" w:rsidP="009522E2">
      <w:pPr>
        <w:widowControl w:val="0"/>
        <w:autoSpaceDE w:val="0"/>
        <w:autoSpaceDN w:val="0"/>
        <w:adjustRightInd w:val="0"/>
        <w:spacing w:after="120"/>
        <w:jc w:val="both"/>
        <w:rPr>
          <w:rFonts w:ascii="Calibri" w:hAnsi="Calibri" w:cs="Arial"/>
          <w:color w:val="1A1A1A"/>
        </w:rPr>
      </w:pPr>
      <w:r w:rsidRPr="001B0608">
        <w:rPr>
          <w:rFonts w:ascii="Calibri" w:hAnsi="Calibri" w:cs="Arial"/>
          <w:color w:val="1A1A1A"/>
        </w:rPr>
        <w:t xml:space="preserve">At the same time, we recognise that such relationships do indeed occur, and </w:t>
      </w:r>
      <w:r>
        <w:rPr>
          <w:rFonts w:ascii="Calibri" w:hAnsi="Calibri" w:cs="Arial"/>
          <w:color w:val="1A1A1A"/>
        </w:rPr>
        <w:t xml:space="preserve">that </w:t>
      </w:r>
      <w:r w:rsidRPr="001B0608">
        <w:rPr>
          <w:rFonts w:ascii="Calibri" w:hAnsi="Calibri" w:cs="Arial"/>
          <w:color w:val="1A1A1A"/>
        </w:rPr>
        <w:t>they need not be damaging, but may be both</w:t>
      </w:r>
      <w:r>
        <w:rPr>
          <w:rFonts w:ascii="Calibri" w:hAnsi="Calibri" w:cs="Arial"/>
          <w:color w:val="1A1A1A"/>
        </w:rPr>
        <w:t xml:space="preserve"> significant and long-lasting.</w:t>
      </w:r>
    </w:p>
    <w:p w14:paraId="1DDCD2CA" w14:textId="77777777" w:rsidR="009522E2" w:rsidRPr="001B0608" w:rsidRDefault="009522E2" w:rsidP="009522E2">
      <w:pPr>
        <w:widowControl w:val="0"/>
        <w:autoSpaceDE w:val="0"/>
        <w:autoSpaceDN w:val="0"/>
        <w:adjustRightInd w:val="0"/>
        <w:spacing w:after="120"/>
        <w:jc w:val="both"/>
        <w:rPr>
          <w:rFonts w:ascii="Calibri" w:hAnsi="Calibri" w:cs="Arial"/>
          <w:color w:val="1A1A1A"/>
        </w:rPr>
      </w:pPr>
      <w:r w:rsidRPr="001B0608">
        <w:rPr>
          <w:rFonts w:ascii="Calibri" w:hAnsi="Calibri" w:cs="Arial"/>
          <w:color w:val="1A1A1A"/>
        </w:rPr>
        <w:t>We suggest that departments adopt the following policy with respect to the behaviour of members of staff at all levels, including postgraduate tutors</w:t>
      </w:r>
      <w:r>
        <w:rPr>
          <w:rFonts w:ascii="Calibri" w:hAnsi="Calibri" w:cs="Arial"/>
          <w:color w:val="1A1A1A"/>
        </w:rPr>
        <w:t>.</w:t>
      </w:r>
      <w:r w:rsidRPr="001B0608">
        <w:rPr>
          <w:rFonts w:ascii="Calibri" w:hAnsi="Calibri" w:cs="Arial"/>
          <w:color w:val="1A1A1A"/>
        </w:rPr>
        <w:t xml:space="preserve"> </w:t>
      </w:r>
    </w:p>
    <w:p w14:paraId="3B8F4AE0" w14:textId="77777777" w:rsidR="009522E2" w:rsidRPr="001B0608" w:rsidRDefault="009522E2" w:rsidP="009522E2">
      <w:pPr>
        <w:widowControl w:val="0"/>
        <w:autoSpaceDE w:val="0"/>
        <w:autoSpaceDN w:val="0"/>
        <w:adjustRightInd w:val="0"/>
        <w:spacing w:after="120"/>
        <w:jc w:val="both"/>
        <w:rPr>
          <w:rFonts w:ascii="Calibri" w:hAnsi="Calibri" w:cs="Arial"/>
          <w:color w:val="1A1A1A"/>
        </w:rPr>
      </w:pPr>
      <w:r w:rsidRPr="001B0608">
        <w:rPr>
          <w:rFonts w:ascii="Calibri" w:hAnsi="Calibri" w:cs="Arial"/>
          <w:color w:val="1A1A1A"/>
        </w:rPr>
        <w:t xml:space="preserve">Please note that the recommendations below are not intended to be read legalistically. Individual institutions may have their own policies, and these will constitute formal requirements on staff and student behaviour. </w:t>
      </w:r>
      <w:r>
        <w:rPr>
          <w:rFonts w:ascii="Calibri" w:hAnsi="Calibri" w:cs="Arial"/>
          <w:color w:val="1A1A1A"/>
        </w:rPr>
        <w:t xml:space="preserve">The </w:t>
      </w:r>
      <w:r w:rsidRPr="001B0608">
        <w:rPr>
          <w:rFonts w:ascii="Calibri" w:hAnsi="Calibri" w:cs="Arial"/>
          <w:color w:val="1A1A1A"/>
        </w:rPr>
        <w:t>recommendations below are intended merely as departmental norms</w:t>
      </w:r>
      <w:r>
        <w:rPr>
          <w:rFonts w:ascii="Calibri" w:hAnsi="Calibri" w:cs="Arial"/>
          <w:color w:val="1A1A1A"/>
        </w:rPr>
        <w:t>, and to be adopted only where not in conflict with institutional regulations.</w:t>
      </w:r>
    </w:p>
    <w:p w14:paraId="1C4DF303" w14:textId="5CCB8D8C" w:rsidR="00D77AFB" w:rsidRPr="007965ED" w:rsidRDefault="00D77AFB" w:rsidP="00D77AFB">
      <w:pPr>
        <w:spacing w:after="120"/>
        <w:jc w:val="both"/>
        <w:rPr>
          <w:rFonts w:ascii="Calibri" w:hAnsi="Calibri"/>
        </w:rPr>
      </w:pPr>
      <w:r w:rsidRPr="007965ED">
        <w:rPr>
          <w:rFonts w:ascii="Calibri" w:hAnsi="Calibri"/>
        </w:rPr>
        <w:lastRenderedPageBreak/>
        <w:t>For further information on the BPA/</w:t>
      </w:r>
      <w:r>
        <w:rPr>
          <w:rFonts w:ascii="Calibri" w:hAnsi="Calibri"/>
        </w:rPr>
        <w:t>SWIP</w:t>
      </w:r>
      <w:r w:rsidR="002A0B85">
        <w:rPr>
          <w:rFonts w:ascii="Calibri" w:hAnsi="Calibri"/>
        </w:rPr>
        <w:t xml:space="preserve"> </w:t>
      </w:r>
      <w:r>
        <w:rPr>
          <w:rFonts w:ascii="Calibri" w:hAnsi="Calibri"/>
        </w:rPr>
        <w:t>Good</w:t>
      </w:r>
      <w:r w:rsidR="002A0B85">
        <w:rPr>
          <w:rFonts w:ascii="Calibri" w:hAnsi="Calibri"/>
        </w:rPr>
        <w:t xml:space="preserve"> Practice S</w:t>
      </w:r>
      <w:r w:rsidRPr="007965ED">
        <w:rPr>
          <w:rFonts w:ascii="Calibri" w:hAnsi="Calibri"/>
        </w:rPr>
        <w:t xml:space="preserve">cheme, please see our general guidance notes </w:t>
      </w:r>
      <w:r>
        <w:rPr>
          <w:rFonts w:ascii="Calibri" w:hAnsi="Calibri"/>
        </w:rPr>
        <w:t>on the BPA Good Practice website (</w:t>
      </w:r>
      <w:hyperlink r:id="rId9" w:history="1">
        <w:r w:rsidR="002A0B85">
          <w:rPr>
            <w:rStyle w:val="Hyperlink"/>
            <w:rFonts w:ascii="Calibri" w:hAnsi="Calibri"/>
          </w:rPr>
          <w:t>bpa.ac.uk/resources/</w:t>
        </w:r>
        <w:r w:rsidRPr="000A49F7">
          <w:rPr>
            <w:rStyle w:val="Hyperlink"/>
            <w:rFonts w:ascii="Calibri" w:hAnsi="Calibri"/>
          </w:rPr>
          <w:t>women-in-philosophy/good-practice</w:t>
        </w:r>
      </w:hyperlink>
      <w:r>
        <w:rPr>
          <w:rFonts w:ascii="Calibri" w:hAnsi="Calibri"/>
        </w:rPr>
        <w:t>).</w:t>
      </w:r>
    </w:p>
    <w:p w14:paraId="233EB9E9" w14:textId="77777777" w:rsidR="009522E2" w:rsidRPr="001B0608" w:rsidRDefault="009522E2" w:rsidP="009522E2">
      <w:pPr>
        <w:widowControl w:val="0"/>
        <w:autoSpaceDE w:val="0"/>
        <w:autoSpaceDN w:val="0"/>
        <w:adjustRightInd w:val="0"/>
        <w:spacing w:after="120"/>
        <w:jc w:val="both"/>
        <w:rPr>
          <w:rFonts w:ascii="Calibri" w:hAnsi="Calibri" w:cs="Arial"/>
          <w:color w:val="1A1A1A"/>
        </w:rPr>
      </w:pPr>
    </w:p>
    <w:p w14:paraId="386EEF99" w14:textId="77777777" w:rsidR="009522E2" w:rsidRDefault="009522E2" w:rsidP="009522E2">
      <w:pPr>
        <w:widowControl w:val="0"/>
        <w:autoSpaceDE w:val="0"/>
        <w:autoSpaceDN w:val="0"/>
        <w:adjustRightInd w:val="0"/>
        <w:spacing w:after="120"/>
        <w:jc w:val="both"/>
        <w:rPr>
          <w:rFonts w:ascii="Calibri" w:hAnsi="Calibri" w:cs="Arial"/>
          <w:b/>
          <w:color w:val="1A1A1A"/>
        </w:rPr>
      </w:pPr>
      <w:r w:rsidRPr="001B0608">
        <w:rPr>
          <w:rFonts w:ascii="Calibri" w:hAnsi="Calibri" w:cs="Arial"/>
          <w:b/>
          <w:color w:val="1A1A1A"/>
        </w:rPr>
        <w:t>Recommendations</w:t>
      </w:r>
    </w:p>
    <w:p w14:paraId="2C8B4E09" w14:textId="628423E9" w:rsidR="002A0B85" w:rsidRPr="002A0B85" w:rsidRDefault="009522E2" w:rsidP="002A0B85">
      <w:pPr>
        <w:pStyle w:val="ListParagraph"/>
        <w:widowControl w:val="0"/>
        <w:numPr>
          <w:ilvl w:val="0"/>
          <w:numId w:val="13"/>
        </w:numPr>
        <w:autoSpaceDE w:val="0"/>
        <w:autoSpaceDN w:val="0"/>
        <w:adjustRightInd w:val="0"/>
        <w:spacing w:after="120"/>
        <w:ind w:left="360"/>
        <w:contextualSpacing w:val="0"/>
        <w:jc w:val="both"/>
        <w:rPr>
          <w:rFonts w:ascii="Calibri" w:hAnsi="Calibri" w:cs="Arial"/>
          <w:b/>
          <w:color w:val="1A1A1A"/>
        </w:rPr>
      </w:pPr>
      <w:r w:rsidRPr="00D23B96">
        <w:rPr>
          <w:rFonts w:ascii="Calibri" w:hAnsi="Calibri" w:cs="Arial"/>
        </w:rPr>
        <w:t xml:space="preserve">The department’s policy </w:t>
      </w:r>
      <w:r>
        <w:rPr>
          <w:rFonts w:ascii="Calibri" w:hAnsi="Calibri" w:cs="Arial"/>
        </w:rPr>
        <w:t xml:space="preserve">on relationships between staff and students (and between staff) </w:t>
      </w:r>
      <w:r w:rsidRPr="00D23B96">
        <w:rPr>
          <w:rFonts w:ascii="Calibri" w:hAnsi="Calibri" w:cs="Arial"/>
        </w:rPr>
        <w:t>should be clearly advertised to all staff and students in a permanent form, e.g. intranet or staff/student handbooks. The policy should include clear guidance about who</w:t>
      </w:r>
      <w:r>
        <w:rPr>
          <w:rFonts w:ascii="Calibri" w:hAnsi="Calibri" w:cs="Arial"/>
        </w:rPr>
        <w:t>m</w:t>
      </w:r>
      <w:r w:rsidRPr="00D23B96">
        <w:rPr>
          <w:rFonts w:ascii="Calibri" w:hAnsi="Calibri" w:cs="Arial"/>
        </w:rPr>
        <w:t xml:space="preserve"> students or staff might consult in the first instance if problems (real or perceived) arise.</w:t>
      </w:r>
      <w:bookmarkStart w:id="0" w:name="_GoBack"/>
      <w:bookmarkEnd w:id="0"/>
    </w:p>
    <w:p w14:paraId="49CED9F6" w14:textId="08020B01" w:rsidR="009522E2" w:rsidRPr="001B0608" w:rsidRDefault="009522E2" w:rsidP="009522E2">
      <w:pPr>
        <w:widowControl w:val="0"/>
        <w:autoSpaceDE w:val="0"/>
        <w:autoSpaceDN w:val="0"/>
        <w:adjustRightInd w:val="0"/>
        <w:spacing w:after="120"/>
        <w:jc w:val="both"/>
        <w:rPr>
          <w:rFonts w:ascii="Calibri" w:hAnsi="Calibri" w:cs="Arial"/>
          <w:b/>
          <w:color w:val="1A1A1A"/>
        </w:rPr>
      </w:pPr>
      <w:r w:rsidRPr="001B0608">
        <w:rPr>
          <w:rFonts w:ascii="Calibri" w:hAnsi="Calibri" w:cs="Arial"/>
          <w:b/>
          <w:color w:val="1A1A1A"/>
        </w:rPr>
        <w:t>Undergraduate students</w:t>
      </w:r>
    </w:p>
    <w:p w14:paraId="1F8C9CB1" w14:textId="77777777" w:rsidR="009522E2" w:rsidRDefault="009522E2" w:rsidP="009522E2">
      <w:pPr>
        <w:pStyle w:val="ListParagraph"/>
        <w:widowControl w:val="0"/>
        <w:numPr>
          <w:ilvl w:val="0"/>
          <w:numId w:val="11"/>
        </w:numPr>
        <w:autoSpaceDE w:val="0"/>
        <w:autoSpaceDN w:val="0"/>
        <w:adjustRightInd w:val="0"/>
        <w:spacing w:after="120"/>
        <w:ind w:left="360"/>
        <w:contextualSpacing w:val="0"/>
        <w:jc w:val="both"/>
        <w:rPr>
          <w:rFonts w:ascii="Calibri" w:hAnsi="Calibri" w:cs="Arial"/>
          <w:color w:val="1A1A1A"/>
        </w:rPr>
      </w:pPr>
      <w:r>
        <w:rPr>
          <w:rFonts w:ascii="Calibri" w:hAnsi="Calibri" w:cs="Arial"/>
          <w:color w:val="1A1A1A"/>
        </w:rPr>
        <w:t xml:space="preserve">Staff and postgraduate teaching assistants should be informed that relationships </w:t>
      </w:r>
      <w:r w:rsidRPr="00D23B96">
        <w:rPr>
          <w:rFonts w:ascii="Calibri" w:hAnsi="Calibri" w:cs="Arial"/>
          <w:color w:val="1A1A1A"/>
        </w:rPr>
        <w:t>between teaching staff</w:t>
      </w:r>
      <w:r>
        <w:rPr>
          <w:rFonts w:ascii="Calibri" w:hAnsi="Calibri" w:cs="Arial"/>
          <w:color w:val="1A1A1A"/>
        </w:rPr>
        <w:t xml:space="preserve"> </w:t>
      </w:r>
      <w:r w:rsidRPr="00D23B96">
        <w:rPr>
          <w:rFonts w:ascii="Calibri" w:hAnsi="Calibri" w:cs="Arial"/>
          <w:color w:val="000000" w:themeColor="text1"/>
        </w:rPr>
        <w:t>and</w:t>
      </w:r>
      <w:r w:rsidRPr="00D23B96">
        <w:rPr>
          <w:rFonts w:ascii="Calibri" w:hAnsi="Calibri" w:cs="Arial"/>
          <w:color w:val="FF0000"/>
        </w:rPr>
        <w:t xml:space="preserve"> </w:t>
      </w:r>
      <w:r w:rsidRPr="00D23B96">
        <w:rPr>
          <w:rFonts w:ascii="Calibri" w:hAnsi="Calibri" w:cs="Arial"/>
          <w:color w:val="1A1A1A"/>
        </w:rPr>
        <w:t>undergraduates are very strongly discouraged</w:t>
      </w:r>
      <w:r>
        <w:rPr>
          <w:rFonts w:ascii="Calibri" w:hAnsi="Calibri" w:cs="Arial"/>
          <w:color w:val="1A1A1A"/>
        </w:rPr>
        <w:t>, for the reasons given above.</w:t>
      </w:r>
      <w:r w:rsidRPr="00D23B96">
        <w:rPr>
          <w:rFonts w:ascii="Calibri" w:hAnsi="Calibri" w:cs="Arial"/>
          <w:color w:val="1A1A1A"/>
        </w:rPr>
        <w:t xml:space="preserve">  </w:t>
      </w:r>
    </w:p>
    <w:p w14:paraId="70640279" w14:textId="77777777" w:rsidR="009522E2" w:rsidRPr="00CA5568" w:rsidRDefault="009522E2" w:rsidP="009522E2">
      <w:pPr>
        <w:pStyle w:val="ListParagraph"/>
        <w:widowControl w:val="0"/>
        <w:numPr>
          <w:ilvl w:val="0"/>
          <w:numId w:val="11"/>
        </w:numPr>
        <w:autoSpaceDE w:val="0"/>
        <w:autoSpaceDN w:val="0"/>
        <w:adjustRightInd w:val="0"/>
        <w:spacing w:after="120"/>
        <w:ind w:left="360"/>
        <w:jc w:val="both"/>
        <w:rPr>
          <w:rFonts w:ascii="Calibri" w:hAnsi="Calibri" w:cs="Arial"/>
          <w:color w:val="1A1A1A"/>
        </w:rPr>
      </w:pPr>
      <w:r w:rsidRPr="00CA5568">
        <w:rPr>
          <w:rFonts w:ascii="Calibri" w:hAnsi="Calibri" w:cs="Arial"/>
          <w:color w:val="1A1A1A"/>
        </w:rPr>
        <w:t>If such a relationship does occur, the member of staff in question should:</w:t>
      </w:r>
    </w:p>
    <w:p w14:paraId="47BFC36F" w14:textId="77777777" w:rsidR="009522E2" w:rsidRPr="00CA5568" w:rsidRDefault="009522E2" w:rsidP="009522E2">
      <w:pPr>
        <w:pStyle w:val="ListParagraph"/>
        <w:widowControl w:val="0"/>
        <w:numPr>
          <w:ilvl w:val="1"/>
          <w:numId w:val="11"/>
        </w:numPr>
        <w:autoSpaceDE w:val="0"/>
        <w:autoSpaceDN w:val="0"/>
        <w:adjustRightInd w:val="0"/>
        <w:spacing w:after="120"/>
        <w:ind w:left="720"/>
        <w:contextualSpacing w:val="0"/>
        <w:jc w:val="both"/>
        <w:rPr>
          <w:rFonts w:ascii="Calibri" w:hAnsi="Calibri" w:cs="Arial"/>
          <w:color w:val="1A1A1A"/>
        </w:rPr>
      </w:pPr>
      <w:r w:rsidRPr="00CA5568">
        <w:rPr>
          <w:rFonts w:ascii="Calibri" w:hAnsi="Calibri" w:cs="Arial"/>
          <w:color w:val="1A1A1A"/>
        </w:rPr>
        <w:t>inform a senior member of the department – where possible, the HoD – as soon as possible;</w:t>
      </w:r>
    </w:p>
    <w:p w14:paraId="22B94D52" w14:textId="77777777" w:rsidR="009522E2" w:rsidRPr="00CA5568" w:rsidRDefault="009522E2" w:rsidP="009522E2">
      <w:pPr>
        <w:pStyle w:val="ListParagraph"/>
        <w:widowControl w:val="0"/>
        <w:numPr>
          <w:ilvl w:val="1"/>
          <w:numId w:val="11"/>
        </w:numPr>
        <w:autoSpaceDE w:val="0"/>
        <w:autoSpaceDN w:val="0"/>
        <w:adjustRightInd w:val="0"/>
        <w:spacing w:after="120"/>
        <w:ind w:left="720"/>
        <w:contextualSpacing w:val="0"/>
        <w:jc w:val="both"/>
        <w:rPr>
          <w:rFonts w:ascii="Calibri" w:hAnsi="Calibri" w:cs="Arial"/>
          <w:color w:val="1A1A1A"/>
        </w:rPr>
      </w:pPr>
      <w:r w:rsidRPr="00CA5568">
        <w:rPr>
          <w:rFonts w:ascii="Calibri" w:hAnsi="Calibri" w:cs="Arial"/>
          <w:color w:val="1A1A1A"/>
        </w:rPr>
        <w:t>withdraw from all small-group teaching involving that student (in the case of teaching assistants, this may involve swapping tutorial groups with another TA), unless practically impossible;</w:t>
      </w:r>
    </w:p>
    <w:p w14:paraId="39D80E05" w14:textId="77777777" w:rsidR="009522E2" w:rsidRPr="00CA5568" w:rsidRDefault="009522E2" w:rsidP="009522E2">
      <w:pPr>
        <w:pStyle w:val="ListParagraph"/>
        <w:widowControl w:val="0"/>
        <w:numPr>
          <w:ilvl w:val="1"/>
          <w:numId w:val="11"/>
        </w:numPr>
        <w:autoSpaceDE w:val="0"/>
        <w:autoSpaceDN w:val="0"/>
        <w:adjustRightInd w:val="0"/>
        <w:spacing w:after="120"/>
        <w:ind w:left="720"/>
        <w:contextualSpacing w:val="0"/>
        <w:jc w:val="both"/>
        <w:rPr>
          <w:rFonts w:ascii="Calibri" w:hAnsi="Calibri" w:cs="Arial"/>
          <w:color w:val="1A1A1A"/>
        </w:rPr>
      </w:pPr>
      <w:r w:rsidRPr="00CA5568">
        <w:rPr>
          <w:rFonts w:ascii="Calibri" w:hAnsi="Calibri" w:cs="Arial"/>
          <w:color w:val="1A1A1A"/>
        </w:rPr>
        <w:t>withdraw from the assessment of that student, even if anonymous marking is used.</w:t>
      </w:r>
    </w:p>
    <w:p w14:paraId="309E9761" w14:textId="77777777" w:rsidR="009522E2" w:rsidRPr="00CA5568" w:rsidRDefault="009522E2" w:rsidP="009522E2">
      <w:pPr>
        <w:pStyle w:val="ListParagraph"/>
        <w:widowControl w:val="0"/>
        <w:numPr>
          <w:ilvl w:val="1"/>
          <w:numId w:val="11"/>
        </w:numPr>
        <w:autoSpaceDE w:val="0"/>
        <w:autoSpaceDN w:val="0"/>
        <w:adjustRightInd w:val="0"/>
        <w:spacing w:after="120"/>
        <w:ind w:left="720"/>
        <w:contextualSpacing w:val="0"/>
        <w:jc w:val="both"/>
        <w:rPr>
          <w:rFonts w:ascii="Calibri" w:hAnsi="Calibri" w:cs="Arial"/>
          <w:color w:val="1A1A1A"/>
        </w:rPr>
      </w:pPr>
      <w:r w:rsidRPr="00CA5568">
        <w:rPr>
          <w:rFonts w:ascii="Calibri" w:hAnsi="Calibri" w:cs="Arial"/>
          <w:color w:val="1A1A1A"/>
        </w:rPr>
        <w:t>withdraw from writing references and recommendations for the student in question.</w:t>
      </w:r>
    </w:p>
    <w:p w14:paraId="4F223B9B" w14:textId="77777777" w:rsidR="009522E2" w:rsidRPr="00D23B96" w:rsidRDefault="009522E2" w:rsidP="009522E2">
      <w:pPr>
        <w:pStyle w:val="ListParagraph"/>
        <w:widowControl w:val="0"/>
        <w:numPr>
          <w:ilvl w:val="0"/>
          <w:numId w:val="11"/>
        </w:numPr>
        <w:autoSpaceDE w:val="0"/>
        <w:autoSpaceDN w:val="0"/>
        <w:adjustRightInd w:val="0"/>
        <w:spacing w:after="120"/>
        <w:ind w:left="360"/>
        <w:contextualSpacing w:val="0"/>
        <w:jc w:val="both"/>
        <w:rPr>
          <w:rFonts w:ascii="Calibri" w:hAnsi="Calibri" w:cs="Arial"/>
          <w:color w:val="1A1A1A"/>
        </w:rPr>
      </w:pPr>
      <w:r w:rsidRPr="00D23B96">
        <w:rPr>
          <w:rFonts w:ascii="Calibri" w:hAnsi="Calibri" w:cs="Arial"/>
          <w:color w:val="1A1A1A"/>
        </w:rPr>
        <w:t>It should be made clear to staff and students that if an undergraduate student has entered into a relationship with a</w:t>
      </w:r>
      <w:r>
        <w:rPr>
          <w:rFonts w:ascii="Calibri" w:hAnsi="Calibri" w:cs="Arial"/>
          <w:color w:val="1A1A1A"/>
        </w:rPr>
        <w:t xml:space="preserve"> member of staff (including a </w:t>
      </w:r>
      <w:r w:rsidRPr="00D23B96">
        <w:rPr>
          <w:rFonts w:ascii="Calibri" w:hAnsi="Calibri" w:cs="Arial"/>
          <w:color w:val="1A1A1A"/>
        </w:rPr>
        <w:t xml:space="preserve">TA), while the responsibility for taking the above steps lies with the member of staff concerned, the student is equally entitled to </w:t>
      </w:r>
      <w:r>
        <w:rPr>
          <w:rFonts w:ascii="Calibri" w:hAnsi="Calibri" w:cs="Arial"/>
          <w:color w:val="1A1A1A"/>
        </w:rPr>
        <w:t xml:space="preserve">report their relationship to another </w:t>
      </w:r>
      <w:r w:rsidRPr="00D23B96">
        <w:rPr>
          <w:rFonts w:ascii="Calibri" w:hAnsi="Calibri" w:cs="Arial"/>
          <w:color w:val="1A1A1A"/>
        </w:rPr>
        <w:t>member of staff</w:t>
      </w:r>
      <w:r>
        <w:rPr>
          <w:rFonts w:ascii="Calibri" w:hAnsi="Calibri" w:cs="Arial"/>
          <w:color w:val="1A1A1A"/>
        </w:rPr>
        <w:t xml:space="preserve"> (e.g. Head of Department, if appropriate)</w:t>
      </w:r>
      <w:r w:rsidRPr="00D23B96">
        <w:rPr>
          <w:rFonts w:ascii="Calibri" w:hAnsi="Calibri" w:cs="Arial"/>
          <w:color w:val="1A1A1A"/>
        </w:rPr>
        <w:t>, and to request that the above steps be taken.</w:t>
      </w:r>
    </w:p>
    <w:p w14:paraId="6F557B34" w14:textId="77777777" w:rsidR="009522E2" w:rsidRDefault="009522E2" w:rsidP="009522E2">
      <w:pPr>
        <w:widowControl w:val="0"/>
        <w:autoSpaceDE w:val="0"/>
        <w:autoSpaceDN w:val="0"/>
        <w:adjustRightInd w:val="0"/>
        <w:spacing w:after="120"/>
        <w:jc w:val="both"/>
        <w:rPr>
          <w:rFonts w:ascii="Calibri" w:hAnsi="Calibri" w:cs="Arial"/>
          <w:b/>
          <w:color w:val="1A1A1A"/>
        </w:rPr>
      </w:pPr>
    </w:p>
    <w:p w14:paraId="3D646830" w14:textId="58A8269F" w:rsidR="009522E2" w:rsidRPr="001B0608" w:rsidRDefault="009522E2" w:rsidP="009522E2">
      <w:pPr>
        <w:widowControl w:val="0"/>
        <w:autoSpaceDE w:val="0"/>
        <w:autoSpaceDN w:val="0"/>
        <w:adjustRightInd w:val="0"/>
        <w:spacing w:after="120"/>
        <w:jc w:val="both"/>
        <w:rPr>
          <w:rFonts w:ascii="Calibri" w:hAnsi="Calibri" w:cs="Arial"/>
          <w:color w:val="1A1A1A"/>
        </w:rPr>
      </w:pPr>
      <w:r w:rsidRPr="001B0608">
        <w:rPr>
          <w:rFonts w:ascii="Calibri" w:hAnsi="Calibri" w:cs="Arial"/>
          <w:b/>
          <w:color w:val="1A1A1A"/>
        </w:rPr>
        <w:t>Graduate students</w:t>
      </w:r>
      <w:r w:rsidRPr="001B0608">
        <w:rPr>
          <w:rFonts w:ascii="Calibri" w:hAnsi="Calibri" w:cs="Arial"/>
          <w:color w:val="1A1A1A"/>
        </w:rPr>
        <w:t>:</w:t>
      </w:r>
    </w:p>
    <w:p w14:paraId="4FFDBB4C" w14:textId="77777777" w:rsidR="009522E2" w:rsidRPr="00D23B96" w:rsidRDefault="009522E2" w:rsidP="009522E2">
      <w:pPr>
        <w:pStyle w:val="ListParagraph"/>
        <w:widowControl w:val="0"/>
        <w:numPr>
          <w:ilvl w:val="0"/>
          <w:numId w:val="12"/>
        </w:numPr>
        <w:autoSpaceDE w:val="0"/>
        <w:autoSpaceDN w:val="0"/>
        <w:adjustRightInd w:val="0"/>
        <w:spacing w:after="120"/>
        <w:ind w:left="360"/>
        <w:contextualSpacing w:val="0"/>
        <w:jc w:val="both"/>
        <w:rPr>
          <w:rFonts w:ascii="Calibri" w:hAnsi="Calibri" w:cs="Arial"/>
          <w:color w:val="1A1A1A"/>
        </w:rPr>
      </w:pPr>
      <w:r>
        <w:rPr>
          <w:rFonts w:ascii="Calibri" w:hAnsi="Calibri" w:cs="Arial"/>
          <w:color w:val="1A1A1A"/>
        </w:rPr>
        <w:t xml:space="preserve">Staff and graduate students should be informed that relationships </w:t>
      </w:r>
      <w:r w:rsidRPr="00D23B96">
        <w:rPr>
          <w:rFonts w:ascii="Calibri" w:hAnsi="Calibri" w:cs="Arial"/>
          <w:color w:val="1A1A1A"/>
        </w:rPr>
        <w:t xml:space="preserve">between </w:t>
      </w:r>
      <w:r>
        <w:rPr>
          <w:rFonts w:ascii="Calibri" w:hAnsi="Calibri" w:cs="Arial"/>
          <w:color w:val="1A1A1A"/>
        </w:rPr>
        <w:t xml:space="preserve">academic members of </w:t>
      </w:r>
      <w:r w:rsidRPr="00D23B96">
        <w:rPr>
          <w:rFonts w:ascii="Calibri" w:hAnsi="Calibri" w:cs="Arial"/>
          <w:color w:val="1A1A1A"/>
        </w:rPr>
        <w:t>teaching staff</w:t>
      </w:r>
      <w:r>
        <w:rPr>
          <w:rFonts w:ascii="Calibri" w:hAnsi="Calibri" w:cs="Arial"/>
          <w:color w:val="1A1A1A"/>
        </w:rPr>
        <w:t xml:space="preserve"> </w:t>
      </w:r>
      <w:r w:rsidRPr="00D23B96">
        <w:rPr>
          <w:rFonts w:ascii="Calibri" w:hAnsi="Calibri" w:cs="Arial"/>
          <w:color w:val="000000" w:themeColor="text1"/>
        </w:rPr>
        <w:t>and</w:t>
      </w:r>
      <w:r w:rsidRPr="00D23B96">
        <w:rPr>
          <w:rFonts w:ascii="Calibri" w:hAnsi="Calibri" w:cs="Arial"/>
          <w:color w:val="FF0000"/>
        </w:rPr>
        <w:t xml:space="preserve"> </w:t>
      </w:r>
      <w:r>
        <w:rPr>
          <w:rFonts w:ascii="Calibri" w:hAnsi="Calibri" w:cs="Arial"/>
          <w:color w:val="1A1A1A"/>
        </w:rPr>
        <w:t>graduate students</w:t>
      </w:r>
      <w:r w:rsidRPr="00D23B96">
        <w:rPr>
          <w:rFonts w:ascii="Calibri" w:hAnsi="Calibri" w:cs="Arial"/>
          <w:color w:val="1A1A1A"/>
        </w:rPr>
        <w:t xml:space="preserve"> are very strongly discouraged</w:t>
      </w:r>
      <w:r>
        <w:rPr>
          <w:rFonts w:ascii="Calibri" w:hAnsi="Calibri" w:cs="Arial"/>
          <w:color w:val="1A1A1A"/>
        </w:rPr>
        <w:t>,</w:t>
      </w:r>
      <w:r w:rsidRPr="00D23B96">
        <w:rPr>
          <w:rFonts w:ascii="Calibri" w:hAnsi="Calibri" w:cs="Arial"/>
          <w:color w:val="1A1A1A"/>
        </w:rPr>
        <w:t xml:space="preserve"> especially between a supervisor and a graduate supervisee.</w:t>
      </w:r>
    </w:p>
    <w:p w14:paraId="540745D9" w14:textId="77777777" w:rsidR="009522E2" w:rsidRPr="00CA5568" w:rsidRDefault="009522E2" w:rsidP="009522E2">
      <w:pPr>
        <w:pStyle w:val="ListParagraph"/>
        <w:widowControl w:val="0"/>
        <w:numPr>
          <w:ilvl w:val="0"/>
          <w:numId w:val="12"/>
        </w:numPr>
        <w:autoSpaceDE w:val="0"/>
        <w:autoSpaceDN w:val="0"/>
        <w:adjustRightInd w:val="0"/>
        <w:spacing w:after="120"/>
        <w:ind w:left="360"/>
        <w:contextualSpacing w:val="0"/>
        <w:jc w:val="both"/>
        <w:rPr>
          <w:rFonts w:ascii="Calibri" w:hAnsi="Calibri" w:cs="Arial"/>
          <w:color w:val="1A1A1A"/>
        </w:rPr>
      </w:pPr>
      <w:r w:rsidRPr="00CA5568">
        <w:rPr>
          <w:rFonts w:ascii="Calibri" w:hAnsi="Calibri" w:cs="Arial"/>
          <w:color w:val="1A1A1A"/>
        </w:rPr>
        <w:t>If such a relationship occurs between a member of staff and a graduate student, the member of staff should:</w:t>
      </w:r>
    </w:p>
    <w:p w14:paraId="360F7D9C" w14:textId="00E91C00" w:rsidR="009522E2" w:rsidRPr="00CA5568" w:rsidRDefault="009522E2" w:rsidP="009522E2">
      <w:pPr>
        <w:pStyle w:val="ListParagraph"/>
        <w:widowControl w:val="0"/>
        <w:numPr>
          <w:ilvl w:val="1"/>
          <w:numId w:val="12"/>
        </w:numPr>
        <w:autoSpaceDE w:val="0"/>
        <w:autoSpaceDN w:val="0"/>
        <w:adjustRightInd w:val="0"/>
        <w:spacing w:after="120"/>
        <w:ind w:left="720"/>
        <w:contextualSpacing w:val="0"/>
        <w:jc w:val="both"/>
        <w:rPr>
          <w:rFonts w:ascii="Calibri" w:hAnsi="Calibri" w:cs="Arial"/>
          <w:color w:val="1A1A1A"/>
        </w:rPr>
      </w:pPr>
      <w:r w:rsidRPr="00CA5568">
        <w:rPr>
          <w:rFonts w:ascii="Calibri" w:hAnsi="Calibri" w:cs="Arial"/>
          <w:color w:val="1A1A1A"/>
        </w:rPr>
        <w:t xml:space="preserve"> inform a senior member of staff – where possible, the HoD –</w:t>
      </w:r>
      <w:r w:rsidR="0090574E">
        <w:rPr>
          <w:rFonts w:ascii="Calibri" w:hAnsi="Calibri" w:cs="Arial"/>
          <w:color w:val="1A1A1A"/>
        </w:rPr>
        <w:t xml:space="preserve"> </w:t>
      </w:r>
      <w:r w:rsidRPr="00CA5568">
        <w:rPr>
          <w:rFonts w:ascii="Calibri" w:hAnsi="Calibri" w:cs="Arial"/>
          <w:color w:val="1A1A1A"/>
        </w:rPr>
        <w:t>as soon as possible;</w:t>
      </w:r>
    </w:p>
    <w:p w14:paraId="0B52931B" w14:textId="77777777" w:rsidR="009522E2" w:rsidRPr="00CA5568" w:rsidRDefault="009522E2" w:rsidP="009522E2">
      <w:pPr>
        <w:pStyle w:val="ListParagraph"/>
        <w:widowControl w:val="0"/>
        <w:numPr>
          <w:ilvl w:val="1"/>
          <w:numId w:val="12"/>
        </w:numPr>
        <w:autoSpaceDE w:val="0"/>
        <w:autoSpaceDN w:val="0"/>
        <w:adjustRightInd w:val="0"/>
        <w:spacing w:after="120"/>
        <w:ind w:left="720"/>
        <w:contextualSpacing w:val="0"/>
        <w:jc w:val="both"/>
        <w:rPr>
          <w:rFonts w:ascii="Calibri" w:hAnsi="Calibri" w:cs="Arial"/>
          <w:color w:val="1A1A1A"/>
        </w:rPr>
      </w:pPr>
      <w:r w:rsidRPr="00CA5568">
        <w:rPr>
          <w:rFonts w:ascii="Calibri" w:hAnsi="Calibri" w:cs="Arial"/>
          <w:color w:val="1A1A1A"/>
        </w:rPr>
        <w:t>withdraw from supervising the student, writing letters of recommendation for them, and making any decisions (e.g. distribution of funding) where preferential treatment of the student could in principle occur;</w:t>
      </w:r>
    </w:p>
    <w:p w14:paraId="79E22695" w14:textId="77777777" w:rsidR="009522E2" w:rsidRPr="00CA5568" w:rsidRDefault="009522E2" w:rsidP="009522E2">
      <w:pPr>
        <w:pStyle w:val="ListParagraph"/>
        <w:widowControl w:val="0"/>
        <w:numPr>
          <w:ilvl w:val="1"/>
          <w:numId w:val="12"/>
        </w:numPr>
        <w:autoSpaceDE w:val="0"/>
        <w:autoSpaceDN w:val="0"/>
        <w:adjustRightInd w:val="0"/>
        <w:spacing w:after="120"/>
        <w:ind w:left="720"/>
        <w:contextualSpacing w:val="0"/>
        <w:jc w:val="both"/>
        <w:rPr>
          <w:rFonts w:ascii="Calibri" w:hAnsi="Calibri" w:cs="Arial"/>
          <w:color w:val="1A1A1A"/>
        </w:rPr>
      </w:pPr>
      <w:r w:rsidRPr="00CA5568">
        <w:rPr>
          <w:rFonts w:ascii="Calibri" w:hAnsi="Calibri" w:cs="Arial"/>
          <w:color w:val="1A1A1A"/>
        </w:rPr>
        <w:t>in the case of PGT students, withdraw from all small-group teaching involving that student, unless practically impossible;</w:t>
      </w:r>
    </w:p>
    <w:p w14:paraId="73EF0FAC" w14:textId="77777777" w:rsidR="009522E2" w:rsidRPr="00CA5568" w:rsidRDefault="009522E2" w:rsidP="009522E2">
      <w:pPr>
        <w:pStyle w:val="ListParagraph"/>
        <w:widowControl w:val="0"/>
        <w:numPr>
          <w:ilvl w:val="1"/>
          <w:numId w:val="12"/>
        </w:numPr>
        <w:autoSpaceDE w:val="0"/>
        <w:autoSpaceDN w:val="0"/>
        <w:adjustRightInd w:val="0"/>
        <w:spacing w:after="120"/>
        <w:ind w:left="720"/>
        <w:contextualSpacing w:val="0"/>
        <w:jc w:val="both"/>
        <w:rPr>
          <w:rFonts w:ascii="Calibri" w:hAnsi="Calibri" w:cs="Arial"/>
          <w:color w:val="1A1A1A"/>
        </w:rPr>
      </w:pPr>
      <w:r w:rsidRPr="00CA5568">
        <w:rPr>
          <w:rFonts w:ascii="Calibri" w:hAnsi="Calibri" w:cs="Arial"/>
          <w:color w:val="1A1A1A"/>
        </w:rPr>
        <w:t>in the case of PGT students, withdraw from the assessment of that student, even if anonymous marking is used.</w:t>
      </w:r>
    </w:p>
    <w:p w14:paraId="353928E7" w14:textId="77777777" w:rsidR="009522E2" w:rsidRPr="00D23B96" w:rsidRDefault="009522E2" w:rsidP="009522E2">
      <w:pPr>
        <w:pStyle w:val="ListParagraph"/>
        <w:widowControl w:val="0"/>
        <w:numPr>
          <w:ilvl w:val="0"/>
          <w:numId w:val="12"/>
        </w:numPr>
        <w:autoSpaceDE w:val="0"/>
        <w:autoSpaceDN w:val="0"/>
        <w:adjustRightInd w:val="0"/>
        <w:spacing w:after="120"/>
        <w:ind w:left="360"/>
        <w:contextualSpacing w:val="0"/>
        <w:jc w:val="both"/>
        <w:rPr>
          <w:rFonts w:ascii="Calibri" w:hAnsi="Calibri" w:cs="Arial"/>
        </w:rPr>
      </w:pPr>
      <w:r w:rsidRPr="00D23B96">
        <w:rPr>
          <w:rFonts w:ascii="Calibri" w:hAnsi="Calibri" w:cs="Arial"/>
          <w:color w:val="1A1A1A"/>
        </w:rPr>
        <w:t xml:space="preserve">As much as possible, the Department </w:t>
      </w:r>
      <w:r>
        <w:rPr>
          <w:rFonts w:ascii="Calibri" w:hAnsi="Calibri" w:cs="Arial"/>
          <w:color w:val="1A1A1A"/>
        </w:rPr>
        <w:t>should encourage</w:t>
      </w:r>
      <w:r w:rsidRPr="00D23B96">
        <w:rPr>
          <w:rFonts w:ascii="Calibri" w:hAnsi="Calibri" w:cs="Arial"/>
          <w:color w:val="1A1A1A"/>
        </w:rPr>
        <w:t xml:space="preserve"> a practice of full disclosure in the case of such relationships’ continuance</w:t>
      </w:r>
      <w:r>
        <w:rPr>
          <w:rFonts w:ascii="Calibri" w:hAnsi="Calibri" w:cs="Arial"/>
          <w:color w:val="1A1A1A"/>
        </w:rPr>
        <w:t>. T</w:t>
      </w:r>
      <w:r w:rsidRPr="00D23B96">
        <w:rPr>
          <w:rFonts w:ascii="Calibri" w:hAnsi="Calibri" w:cs="Arial"/>
          <w:color w:val="1A1A1A"/>
        </w:rPr>
        <w:t>his avoids real or perceived conflicts of interest, as well as embarrassment for others.</w:t>
      </w:r>
    </w:p>
    <w:p w14:paraId="6CE303A7" w14:textId="77777777" w:rsidR="009522E2" w:rsidRDefault="009522E2" w:rsidP="009522E2">
      <w:pPr>
        <w:widowControl w:val="0"/>
        <w:autoSpaceDE w:val="0"/>
        <w:autoSpaceDN w:val="0"/>
        <w:adjustRightInd w:val="0"/>
        <w:spacing w:after="120"/>
        <w:jc w:val="both"/>
        <w:rPr>
          <w:rFonts w:ascii="Calibri" w:hAnsi="Calibri" w:cs="Arial"/>
        </w:rPr>
      </w:pPr>
    </w:p>
    <w:p w14:paraId="516CE25B" w14:textId="5934915A" w:rsidR="002A0B85" w:rsidRPr="002A0B85" w:rsidRDefault="002A0B85" w:rsidP="009522E2">
      <w:pPr>
        <w:widowControl w:val="0"/>
        <w:autoSpaceDE w:val="0"/>
        <w:autoSpaceDN w:val="0"/>
        <w:adjustRightInd w:val="0"/>
        <w:spacing w:after="120"/>
        <w:jc w:val="both"/>
        <w:rPr>
          <w:rFonts w:ascii="Calibri" w:hAnsi="Calibri" w:cs="Arial"/>
          <w:b/>
        </w:rPr>
      </w:pPr>
      <w:r>
        <w:rPr>
          <w:rFonts w:ascii="Calibri" w:hAnsi="Calibri" w:cs="Arial"/>
          <w:b/>
        </w:rPr>
        <w:t>Academic staff</w:t>
      </w:r>
    </w:p>
    <w:p w14:paraId="5C10006C" w14:textId="77777777" w:rsidR="009522E2" w:rsidRDefault="009522E2" w:rsidP="009522E2">
      <w:pPr>
        <w:widowControl w:val="0"/>
        <w:autoSpaceDE w:val="0"/>
        <w:autoSpaceDN w:val="0"/>
        <w:adjustRightInd w:val="0"/>
        <w:spacing w:after="120"/>
        <w:jc w:val="both"/>
        <w:rPr>
          <w:rFonts w:ascii="Calibri" w:hAnsi="Calibri" w:cs="Arial"/>
        </w:rPr>
      </w:pPr>
      <w:r w:rsidRPr="001B0608">
        <w:rPr>
          <w:rFonts w:ascii="Calibri" w:hAnsi="Calibri" w:cs="Arial"/>
        </w:rPr>
        <w:t xml:space="preserve">Between members of academic </w:t>
      </w:r>
      <w:r w:rsidRPr="002A0B85">
        <w:rPr>
          <w:rFonts w:ascii="Calibri" w:hAnsi="Calibri" w:cs="Arial"/>
        </w:rPr>
        <w:t xml:space="preserve">staff </w:t>
      </w:r>
      <w:r w:rsidRPr="001B0608">
        <w:rPr>
          <w:rFonts w:ascii="Calibri" w:hAnsi="Calibri" w:cs="Arial"/>
        </w:rPr>
        <w:t>where there is a large disparity in seniority (e.g. senior staff/temporary lecturer; Head of Department/junior lecturer)</w:t>
      </w:r>
      <w:r>
        <w:rPr>
          <w:rFonts w:ascii="Calibri" w:hAnsi="Calibri" w:cs="Arial"/>
        </w:rPr>
        <w:t>:</w:t>
      </w:r>
    </w:p>
    <w:p w14:paraId="6CED18A8" w14:textId="77777777" w:rsidR="009522E2" w:rsidRDefault="009522E2" w:rsidP="009522E2">
      <w:pPr>
        <w:pStyle w:val="ListParagraph"/>
        <w:widowControl w:val="0"/>
        <w:numPr>
          <w:ilvl w:val="0"/>
          <w:numId w:val="14"/>
        </w:numPr>
        <w:autoSpaceDE w:val="0"/>
        <w:autoSpaceDN w:val="0"/>
        <w:adjustRightInd w:val="0"/>
        <w:spacing w:after="120"/>
        <w:ind w:left="360"/>
        <w:contextualSpacing w:val="0"/>
        <w:jc w:val="both"/>
        <w:rPr>
          <w:rFonts w:ascii="Calibri" w:hAnsi="Calibri" w:cs="Arial"/>
          <w:color w:val="1A1A1A"/>
        </w:rPr>
      </w:pPr>
      <w:r>
        <w:rPr>
          <w:rFonts w:ascii="Calibri" w:hAnsi="Calibri" w:cs="Arial"/>
        </w:rPr>
        <w:t>D</w:t>
      </w:r>
      <w:r w:rsidRPr="002326CD">
        <w:rPr>
          <w:rFonts w:ascii="Calibri" w:hAnsi="Calibri" w:cs="Arial"/>
        </w:rPr>
        <w:t>isclo</w:t>
      </w:r>
      <w:r>
        <w:rPr>
          <w:rFonts w:ascii="Calibri" w:hAnsi="Calibri" w:cs="Arial"/>
        </w:rPr>
        <w:t>sure of any such relationship should be</w:t>
      </w:r>
      <w:r w:rsidRPr="002326CD">
        <w:rPr>
          <w:rFonts w:ascii="Calibri" w:hAnsi="Calibri" w:cs="Arial"/>
        </w:rPr>
        <w:t xml:space="preserve"> strongly encouraged, in order to avoid real </w:t>
      </w:r>
      <w:r w:rsidRPr="002326CD">
        <w:rPr>
          <w:rFonts w:ascii="Calibri" w:hAnsi="Calibri" w:cs="Arial"/>
          <w:color w:val="1A1A1A"/>
        </w:rPr>
        <w:t>or perceived conflicts of interest.</w:t>
      </w:r>
    </w:p>
    <w:p w14:paraId="5ED7D4AC" w14:textId="77777777" w:rsidR="009522E2" w:rsidRPr="00CA5568" w:rsidRDefault="009522E2" w:rsidP="009522E2">
      <w:pPr>
        <w:pStyle w:val="ListParagraph"/>
        <w:widowControl w:val="0"/>
        <w:numPr>
          <w:ilvl w:val="0"/>
          <w:numId w:val="14"/>
        </w:numPr>
        <w:autoSpaceDE w:val="0"/>
        <w:autoSpaceDN w:val="0"/>
        <w:adjustRightInd w:val="0"/>
        <w:spacing w:after="120"/>
        <w:ind w:left="360"/>
        <w:contextualSpacing w:val="0"/>
        <w:jc w:val="both"/>
        <w:rPr>
          <w:rFonts w:ascii="Calibri" w:hAnsi="Calibri" w:cs="Arial"/>
          <w:color w:val="1A1A1A"/>
        </w:rPr>
      </w:pPr>
      <w:r w:rsidRPr="00CA5568">
        <w:rPr>
          <w:rFonts w:ascii="Calibri" w:hAnsi="Calibri" w:cs="Arial"/>
        </w:rPr>
        <w:t>Any potential for real or perceived conflicts of interest should be removed by, e.g., removal of the senior member of staff from relevant decision-making (e.g. promotions, appointment to permanent positions).</w:t>
      </w:r>
    </w:p>
    <w:p w14:paraId="1906BD34" w14:textId="77777777" w:rsidR="009522E2" w:rsidRPr="001B0608" w:rsidRDefault="009522E2" w:rsidP="009522E2">
      <w:pPr>
        <w:widowControl w:val="0"/>
        <w:autoSpaceDE w:val="0"/>
        <w:autoSpaceDN w:val="0"/>
        <w:adjustRightInd w:val="0"/>
        <w:spacing w:after="120"/>
        <w:rPr>
          <w:rFonts w:ascii="Calibri" w:hAnsi="Calibri" w:cs="Arial"/>
          <w:color w:val="1A1A1A"/>
        </w:rPr>
      </w:pPr>
    </w:p>
    <w:p w14:paraId="5477C1EE" w14:textId="646FE9D3" w:rsidR="009A5825" w:rsidRPr="003B76E8" w:rsidRDefault="009A5825" w:rsidP="009522E2">
      <w:pPr>
        <w:spacing w:after="120"/>
        <w:jc w:val="center"/>
        <w:rPr>
          <w:rFonts w:ascii="Calibri" w:hAnsi="Calibri"/>
        </w:rPr>
      </w:pPr>
    </w:p>
    <w:sectPr w:rsidR="009A5825" w:rsidRPr="003B76E8" w:rsidSect="002A0B85">
      <w:headerReference w:type="default" r:id="rId10"/>
      <w:footerReference w:type="even" r:id="rId11"/>
      <w:footerReference w:type="default" r:id="rId1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3154D" w14:textId="77777777" w:rsidR="003B76E8" w:rsidRDefault="003B76E8" w:rsidP="003B76E8">
      <w:r>
        <w:separator/>
      </w:r>
    </w:p>
  </w:endnote>
  <w:endnote w:type="continuationSeparator" w:id="0">
    <w:p w14:paraId="30DB02BE" w14:textId="77777777" w:rsidR="003B76E8" w:rsidRDefault="003B76E8" w:rsidP="003B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13135" w14:textId="77777777" w:rsidR="00E63997" w:rsidRDefault="00E63997" w:rsidP="00DD05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D46C8" w14:textId="77777777" w:rsidR="00E63997" w:rsidRDefault="00E639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C75" w14:textId="77777777" w:rsidR="00E63997" w:rsidRDefault="00E63997" w:rsidP="00DD05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0B85">
      <w:rPr>
        <w:rStyle w:val="PageNumber"/>
        <w:noProof/>
      </w:rPr>
      <w:t>1</w:t>
    </w:r>
    <w:r>
      <w:rPr>
        <w:rStyle w:val="PageNumber"/>
      </w:rPr>
      <w:fldChar w:fldCharType="end"/>
    </w:r>
  </w:p>
  <w:p w14:paraId="7A42920A" w14:textId="77777777" w:rsidR="00E63997" w:rsidRDefault="00E639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39E5F" w14:textId="77777777" w:rsidR="003B76E8" w:rsidRDefault="003B76E8" w:rsidP="003B76E8">
      <w:r>
        <w:separator/>
      </w:r>
    </w:p>
  </w:footnote>
  <w:footnote w:type="continuationSeparator" w:id="0">
    <w:p w14:paraId="0F84DC3D" w14:textId="77777777" w:rsidR="003B76E8" w:rsidRDefault="003B76E8" w:rsidP="003B7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7327A" w14:textId="14471D82" w:rsidR="003B76E8" w:rsidRPr="003B76E8" w:rsidRDefault="003B76E8" w:rsidP="003B76E8">
    <w:pPr>
      <w:pStyle w:val="Header"/>
      <w:jc w:val="right"/>
      <w:rPr>
        <w:i/>
        <w:sz w:val="22"/>
        <w:szCs w:val="22"/>
      </w:rPr>
    </w:pPr>
    <w:r w:rsidRPr="003B76E8">
      <w:rPr>
        <w:i/>
        <w:sz w:val="22"/>
        <w:szCs w:val="22"/>
      </w:rPr>
      <w:t>BPA/SWIP Good Practice</w:t>
    </w:r>
    <w:r w:rsidR="002A0B85">
      <w:rPr>
        <w:i/>
        <w:sz w:val="22"/>
        <w:szCs w:val="22"/>
      </w:rPr>
      <w:t xml:space="preserve"> Scheme</w:t>
    </w:r>
    <w:r w:rsidR="00350709">
      <w:rPr>
        <w:i/>
        <w:sz w:val="22"/>
        <w:szCs w:val="22"/>
      </w:rPr>
      <w:t xml:space="preserve">: </w:t>
    </w:r>
    <w:r w:rsidR="00372504">
      <w:rPr>
        <w:i/>
        <w:sz w:val="22"/>
        <w:szCs w:val="22"/>
      </w:rPr>
      <w:t>Staff-student relationships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43FA"/>
    <w:multiLevelType w:val="hybridMultilevel"/>
    <w:tmpl w:val="A4E42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907C3"/>
    <w:multiLevelType w:val="hybridMultilevel"/>
    <w:tmpl w:val="060A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55FCF"/>
    <w:multiLevelType w:val="hybridMultilevel"/>
    <w:tmpl w:val="C8CA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D0A5F"/>
    <w:multiLevelType w:val="hybridMultilevel"/>
    <w:tmpl w:val="B7E8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A7A60"/>
    <w:multiLevelType w:val="hybridMultilevel"/>
    <w:tmpl w:val="0954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C53EA"/>
    <w:multiLevelType w:val="hybridMultilevel"/>
    <w:tmpl w:val="EF12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72DD1"/>
    <w:multiLevelType w:val="hybridMultilevel"/>
    <w:tmpl w:val="C072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9F46F8"/>
    <w:multiLevelType w:val="hybridMultilevel"/>
    <w:tmpl w:val="C25603A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4D25479F"/>
    <w:multiLevelType w:val="hybridMultilevel"/>
    <w:tmpl w:val="DC96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9B63F2"/>
    <w:multiLevelType w:val="hybridMultilevel"/>
    <w:tmpl w:val="F9D8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C733DE"/>
    <w:multiLevelType w:val="hybridMultilevel"/>
    <w:tmpl w:val="A6BE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5736D9"/>
    <w:multiLevelType w:val="hybridMultilevel"/>
    <w:tmpl w:val="C4709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556B30"/>
    <w:multiLevelType w:val="hybridMultilevel"/>
    <w:tmpl w:val="BF6C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A74AAF"/>
    <w:multiLevelType w:val="hybridMultilevel"/>
    <w:tmpl w:val="E3EA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6"/>
  </w:num>
  <w:num w:numId="5">
    <w:abstractNumId w:val="1"/>
  </w:num>
  <w:num w:numId="6">
    <w:abstractNumId w:val="2"/>
  </w:num>
  <w:num w:numId="7">
    <w:abstractNumId w:val="13"/>
  </w:num>
  <w:num w:numId="8">
    <w:abstractNumId w:val="3"/>
  </w:num>
  <w:num w:numId="9">
    <w:abstractNumId w:val="5"/>
  </w:num>
  <w:num w:numId="10">
    <w:abstractNumId w:val="8"/>
  </w:num>
  <w:num w:numId="11">
    <w:abstractNumId w:val="0"/>
  </w:num>
  <w:num w:numId="12">
    <w:abstractNumId w:val="11"/>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32"/>
    <w:rsid w:val="000B5247"/>
    <w:rsid w:val="001242E1"/>
    <w:rsid w:val="00175CE0"/>
    <w:rsid w:val="001A5CF0"/>
    <w:rsid w:val="002A029F"/>
    <w:rsid w:val="002A0B85"/>
    <w:rsid w:val="00300CC3"/>
    <w:rsid w:val="00303905"/>
    <w:rsid w:val="00350709"/>
    <w:rsid w:val="00365753"/>
    <w:rsid w:val="00372504"/>
    <w:rsid w:val="003B76E8"/>
    <w:rsid w:val="004A09A7"/>
    <w:rsid w:val="005268FD"/>
    <w:rsid w:val="005F75EF"/>
    <w:rsid w:val="00625E61"/>
    <w:rsid w:val="00676777"/>
    <w:rsid w:val="00725484"/>
    <w:rsid w:val="00856C29"/>
    <w:rsid w:val="00877B65"/>
    <w:rsid w:val="00900AEB"/>
    <w:rsid w:val="0090574E"/>
    <w:rsid w:val="009522E2"/>
    <w:rsid w:val="009A5825"/>
    <w:rsid w:val="00A47475"/>
    <w:rsid w:val="00AE39BF"/>
    <w:rsid w:val="00BB6CB7"/>
    <w:rsid w:val="00BD489F"/>
    <w:rsid w:val="00BD6073"/>
    <w:rsid w:val="00BF5348"/>
    <w:rsid w:val="00C865BB"/>
    <w:rsid w:val="00C92B14"/>
    <w:rsid w:val="00CD6919"/>
    <w:rsid w:val="00D335C7"/>
    <w:rsid w:val="00D3558A"/>
    <w:rsid w:val="00D77AFB"/>
    <w:rsid w:val="00DB5820"/>
    <w:rsid w:val="00E06E98"/>
    <w:rsid w:val="00E44CB8"/>
    <w:rsid w:val="00E63997"/>
    <w:rsid w:val="00F42E32"/>
    <w:rsid w:val="00F768AC"/>
    <w:rsid w:val="00FF699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29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E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6E98"/>
    <w:rPr>
      <w:rFonts w:ascii="Lucida Grande" w:hAnsi="Lucida Grande" w:cs="Lucida Grande"/>
      <w:sz w:val="18"/>
      <w:szCs w:val="18"/>
    </w:rPr>
  </w:style>
  <w:style w:type="character" w:styleId="CommentReference">
    <w:name w:val="annotation reference"/>
    <w:basedOn w:val="DefaultParagraphFont"/>
    <w:uiPriority w:val="99"/>
    <w:semiHidden/>
    <w:unhideWhenUsed/>
    <w:rsid w:val="00856C29"/>
    <w:rPr>
      <w:sz w:val="18"/>
      <w:szCs w:val="18"/>
    </w:rPr>
  </w:style>
  <w:style w:type="paragraph" w:styleId="CommentText">
    <w:name w:val="annotation text"/>
    <w:basedOn w:val="Normal"/>
    <w:link w:val="CommentTextChar"/>
    <w:uiPriority w:val="99"/>
    <w:semiHidden/>
    <w:unhideWhenUsed/>
    <w:rsid w:val="00856C29"/>
  </w:style>
  <w:style w:type="character" w:customStyle="1" w:styleId="CommentTextChar">
    <w:name w:val="Comment Text Char"/>
    <w:basedOn w:val="DefaultParagraphFont"/>
    <w:link w:val="CommentText"/>
    <w:uiPriority w:val="99"/>
    <w:semiHidden/>
    <w:rsid w:val="00856C29"/>
  </w:style>
  <w:style w:type="paragraph" w:styleId="CommentSubject">
    <w:name w:val="annotation subject"/>
    <w:basedOn w:val="CommentText"/>
    <w:next w:val="CommentText"/>
    <w:link w:val="CommentSubjectChar"/>
    <w:uiPriority w:val="99"/>
    <w:semiHidden/>
    <w:unhideWhenUsed/>
    <w:rsid w:val="00856C29"/>
    <w:rPr>
      <w:b/>
      <w:bCs/>
      <w:sz w:val="20"/>
      <w:szCs w:val="20"/>
    </w:rPr>
  </w:style>
  <w:style w:type="character" w:customStyle="1" w:styleId="CommentSubjectChar">
    <w:name w:val="Comment Subject Char"/>
    <w:basedOn w:val="CommentTextChar"/>
    <w:link w:val="CommentSubject"/>
    <w:uiPriority w:val="99"/>
    <w:semiHidden/>
    <w:rsid w:val="00856C29"/>
    <w:rPr>
      <w:b/>
      <w:bCs/>
      <w:sz w:val="20"/>
      <w:szCs w:val="20"/>
    </w:rPr>
  </w:style>
  <w:style w:type="paragraph" w:styleId="ListParagraph">
    <w:name w:val="List Paragraph"/>
    <w:basedOn w:val="Normal"/>
    <w:uiPriority w:val="34"/>
    <w:qFormat/>
    <w:rsid w:val="00856C29"/>
    <w:pPr>
      <w:ind w:left="720"/>
      <w:contextualSpacing/>
    </w:pPr>
  </w:style>
  <w:style w:type="character" w:styleId="Hyperlink">
    <w:name w:val="Hyperlink"/>
    <w:basedOn w:val="DefaultParagraphFont"/>
    <w:uiPriority w:val="99"/>
    <w:unhideWhenUsed/>
    <w:rsid w:val="00BF5348"/>
    <w:rPr>
      <w:color w:val="0000FF" w:themeColor="hyperlink"/>
      <w:u w:val="single"/>
    </w:rPr>
  </w:style>
  <w:style w:type="paragraph" w:styleId="Header">
    <w:name w:val="header"/>
    <w:basedOn w:val="Normal"/>
    <w:link w:val="HeaderChar"/>
    <w:uiPriority w:val="99"/>
    <w:unhideWhenUsed/>
    <w:rsid w:val="003B76E8"/>
    <w:pPr>
      <w:tabs>
        <w:tab w:val="center" w:pos="4320"/>
        <w:tab w:val="right" w:pos="8640"/>
      </w:tabs>
    </w:pPr>
  </w:style>
  <w:style w:type="character" w:customStyle="1" w:styleId="HeaderChar">
    <w:name w:val="Header Char"/>
    <w:basedOn w:val="DefaultParagraphFont"/>
    <w:link w:val="Header"/>
    <w:uiPriority w:val="99"/>
    <w:rsid w:val="003B76E8"/>
  </w:style>
  <w:style w:type="paragraph" w:styleId="Footer">
    <w:name w:val="footer"/>
    <w:basedOn w:val="Normal"/>
    <w:link w:val="FooterChar"/>
    <w:uiPriority w:val="99"/>
    <w:unhideWhenUsed/>
    <w:rsid w:val="003B76E8"/>
    <w:pPr>
      <w:tabs>
        <w:tab w:val="center" w:pos="4320"/>
        <w:tab w:val="right" w:pos="8640"/>
      </w:tabs>
    </w:pPr>
  </w:style>
  <w:style w:type="character" w:customStyle="1" w:styleId="FooterChar">
    <w:name w:val="Footer Char"/>
    <w:basedOn w:val="DefaultParagraphFont"/>
    <w:link w:val="Footer"/>
    <w:uiPriority w:val="99"/>
    <w:rsid w:val="003B76E8"/>
  </w:style>
  <w:style w:type="character" w:styleId="FollowedHyperlink">
    <w:name w:val="FollowedHyperlink"/>
    <w:basedOn w:val="DefaultParagraphFont"/>
    <w:uiPriority w:val="99"/>
    <w:semiHidden/>
    <w:unhideWhenUsed/>
    <w:rsid w:val="00D77AFB"/>
    <w:rPr>
      <w:color w:val="800080" w:themeColor="followedHyperlink"/>
      <w:u w:val="single"/>
    </w:rPr>
  </w:style>
  <w:style w:type="character" w:styleId="PageNumber">
    <w:name w:val="page number"/>
    <w:basedOn w:val="DefaultParagraphFont"/>
    <w:uiPriority w:val="99"/>
    <w:semiHidden/>
    <w:unhideWhenUsed/>
    <w:rsid w:val="00E639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E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6E98"/>
    <w:rPr>
      <w:rFonts w:ascii="Lucida Grande" w:hAnsi="Lucida Grande" w:cs="Lucida Grande"/>
      <w:sz w:val="18"/>
      <w:szCs w:val="18"/>
    </w:rPr>
  </w:style>
  <w:style w:type="character" w:styleId="CommentReference">
    <w:name w:val="annotation reference"/>
    <w:basedOn w:val="DefaultParagraphFont"/>
    <w:uiPriority w:val="99"/>
    <w:semiHidden/>
    <w:unhideWhenUsed/>
    <w:rsid w:val="00856C29"/>
    <w:rPr>
      <w:sz w:val="18"/>
      <w:szCs w:val="18"/>
    </w:rPr>
  </w:style>
  <w:style w:type="paragraph" w:styleId="CommentText">
    <w:name w:val="annotation text"/>
    <w:basedOn w:val="Normal"/>
    <w:link w:val="CommentTextChar"/>
    <w:uiPriority w:val="99"/>
    <w:semiHidden/>
    <w:unhideWhenUsed/>
    <w:rsid w:val="00856C29"/>
  </w:style>
  <w:style w:type="character" w:customStyle="1" w:styleId="CommentTextChar">
    <w:name w:val="Comment Text Char"/>
    <w:basedOn w:val="DefaultParagraphFont"/>
    <w:link w:val="CommentText"/>
    <w:uiPriority w:val="99"/>
    <w:semiHidden/>
    <w:rsid w:val="00856C29"/>
  </w:style>
  <w:style w:type="paragraph" w:styleId="CommentSubject">
    <w:name w:val="annotation subject"/>
    <w:basedOn w:val="CommentText"/>
    <w:next w:val="CommentText"/>
    <w:link w:val="CommentSubjectChar"/>
    <w:uiPriority w:val="99"/>
    <w:semiHidden/>
    <w:unhideWhenUsed/>
    <w:rsid w:val="00856C29"/>
    <w:rPr>
      <w:b/>
      <w:bCs/>
      <w:sz w:val="20"/>
      <w:szCs w:val="20"/>
    </w:rPr>
  </w:style>
  <w:style w:type="character" w:customStyle="1" w:styleId="CommentSubjectChar">
    <w:name w:val="Comment Subject Char"/>
    <w:basedOn w:val="CommentTextChar"/>
    <w:link w:val="CommentSubject"/>
    <w:uiPriority w:val="99"/>
    <w:semiHidden/>
    <w:rsid w:val="00856C29"/>
    <w:rPr>
      <w:b/>
      <w:bCs/>
      <w:sz w:val="20"/>
      <w:szCs w:val="20"/>
    </w:rPr>
  </w:style>
  <w:style w:type="paragraph" w:styleId="ListParagraph">
    <w:name w:val="List Paragraph"/>
    <w:basedOn w:val="Normal"/>
    <w:uiPriority w:val="34"/>
    <w:qFormat/>
    <w:rsid w:val="00856C29"/>
    <w:pPr>
      <w:ind w:left="720"/>
      <w:contextualSpacing/>
    </w:pPr>
  </w:style>
  <w:style w:type="character" w:styleId="Hyperlink">
    <w:name w:val="Hyperlink"/>
    <w:basedOn w:val="DefaultParagraphFont"/>
    <w:uiPriority w:val="99"/>
    <w:unhideWhenUsed/>
    <w:rsid w:val="00BF5348"/>
    <w:rPr>
      <w:color w:val="0000FF" w:themeColor="hyperlink"/>
      <w:u w:val="single"/>
    </w:rPr>
  </w:style>
  <w:style w:type="paragraph" w:styleId="Header">
    <w:name w:val="header"/>
    <w:basedOn w:val="Normal"/>
    <w:link w:val="HeaderChar"/>
    <w:uiPriority w:val="99"/>
    <w:unhideWhenUsed/>
    <w:rsid w:val="003B76E8"/>
    <w:pPr>
      <w:tabs>
        <w:tab w:val="center" w:pos="4320"/>
        <w:tab w:val="right" w:pos="8640"/>
      </w:tabs>
    </w:pPr>
  </w:style>
  <w:style w:type="character" w:customStyle="1" w:styleId="HeaderChar">
    <w:name w:val="Header Char"/>
    <w:basedOn w:val="DefaultParagraphFont"/>
    <w:link w:val="Header"/>
    <w:uiPriority w:val="99"/>
    <w:rsid w:val="003B76E8"/>
  </w:style>
  <w:style w:type="paragraph" w:styleId="Footer">
    <w:name w:val="footer"/>
    <w:basedOn w:val="Normal"/>
    <w:link w:val="FooterChar"/>
    <w:uiPriority w:val="99"/>
    <w:unhideWhenUsed/>
    <w:rsid w:val="003B76E8"/>
    <w:pPr>
      <w:tabs>
        <w:tab w:val="center" w:pos="4320"/>
        <w:tab w:val="right" w:pos="8640"/>
      </w:tabs>
    </w:pPr>
  </w:style>
  <w:style w:type="character" w:customStyle="1" w:styleId="FooterChar">
    <w:name w:val="Footer Char"/>
    <w:basedOn w:val="DefaultParagraphFont"/>
    <w:link w:val="Footer"/>
    <w:uiPriority w:val="99"/>
    <w:rsid w:val="003B76E8"/>
  </w:style>
  <w:style w:type="character" w:styleId="FollowedHyperlink">
    <w:name w:val="FollowedHyperlink"/>
    <w:basedOn w:val="DefaultParagraphFont"/>
    <w:uiPriority w:val="99"/>
    <w:semiHidden/>
    <w:unhideWhenUsed/>
    <w:rsid w:val="00D77AFB"/>
    <w:rPr>
      <w:color w:val="800080" w:themeColor="followedHyperlink"/>
      <w:u w:val="single"/>
    </w:rPr>
  </w:style>
  <w:style w:type="character" w:styleId="PageNumber">
    <w:name w:val="page number"/>
    <w:basedOn w:val="DefaultParagraphFont"/>
    <w:uiPriority w:val="99"/>
    <w:semiHidden/>
    <w:unhideWhenUsed/>
    <w:rsid w:val="00E6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bpa.ac.uk/resources/women-in-philosophy/good-practice"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799</Words>
  <Characters>4616</Characters>
  <Application>Microsoft Macintosh Word</Application>
  <DocSecurity>0</DocSecurity>
  <Lines>98</Lines>
  <Paragraphs>42</Paragraphs>
  <ScaleCrop>false</ScaleCrop>
  <Company>Argument from Design</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Saul</dc:creator>
  <cp:keywords/>
  <dc:description/>
  <cp:lastModifiedBy>Helen</cp:lastModifiedBy>
  <cp:revision>9</cp:revision>
  <dcterms:created xsi:type="dcterms:W3CDTF">2013-12-01T13:24:00Z</dcterms:created>
  <dcterms:modified xsi:type="dcterms:W3CDTF">2014-01-23T15:37:00Z</dcterms:modified>
</cp:coreProperties>
</file>